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35" w:rsidRPr="00921535" w:rsidRDefault="00921535" w:rsidP="00921535">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Pr>
          <w:rFonts w:ascii="Comic Sans MS" w:eastAsia="Times New Roman" w:hAnsi="Comic Sans MS" w:cs="Times New Roman"/>
          <w:b/>
          <w:bCs/>
          <w:color w:val="000000"/>
          <w:sz w:val="24"/>
          <w:szCs w:val="24"/>
          <w:lang w:eastAsia="en-GB"/>
        </w:rPr>
        <w:t>PUPIL PREMIUM STRATEGY 2015-2016</w:t>
      </w:r>
    </w:p>
    <w:p w:rsidR="00921535" w:rsidRPr="00921535" w:rsidRDefault="00921535" w:rsidP="00921535">
      <w:pPr>
        <w:spacing w:before="100" w:beforeAutospacing="1" w:after="100" w:afterAutospacing="1" w:line="240" w:lineRule="auto"/>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The Pupil Premium is allocated to children who are known to be eligible for Free School Meals (FSM), Service Children and children who have been looked after continuously for more than six months. This will also include pupils eligible for FSM at any point in the last six years (known as the Ever 6 FSM measure)</w:t>
      </w:r>
    </w:p>
    <w:p w:rsidR="00921535" w:rsidRPr="00921535" w:rsidRDefault="00921535" w:rsidP="00921535">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1535">
        <w:rPr>
          <w:rFonts w:ascii="Comic Sans MS" w:eastAsia="Times New Roman" w:hAnsi="Comic Sans MS" w:cs="Times New Roman"/>
          <w:b/>
          <w:bCs/>
          <w:color w:val="000000"/>
          <w:sz w:val="24"/>
          <w:szCs w:val="24"/>
          <w:lang w:eastAsia="en-GB"/>
        </w:rPr>
        <w:t xml:space="preserve">Do you qualify for Free School Meals? </w:t>
      </w:r>
    </w:p>
    <w:p w:rsidR="00921535" w:rsidRPr="00921535" w:rsidRDefault="00921535" w:rsidP="00921535">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1535">
        <w:rPr>
          <w:rFonts w:ascii="Comic Sans MS" w:eastAsia="Times New Roman" w:hAnsi="Comic Sans MS" w:cs="Times New Roman"/>
          <w:color w:val="000000"/>
          <w:sz w:val="24"/>
          <w:szCs w:val="24"/>
          <w:lang w:eastAsia="en-GB"/>
        </w:rPr>
        <w:t>You can register your child for Free School Meals if you get any of these benefits:</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Income Support</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Income Based Job Seekers Allowance</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Income related Employment and Support Allowance</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Support under Part VI of the Immigration and Asylum Act 1999</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Guaranteed element of State Pension Credit</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Child Tax Credit, with no Working Tax Credit, and an annual income of no more than £16,190</w:t>
      </w:r>
      <w:r w:rsidRPr="00921535">
        <w:rPr>
          <w:rFonts w:ascii="Arial" w:eastAsia="Times New Roman" w:hAnsi="Arial" w:cs="Arial"/>
          <w:color w:val="000000"/>
          <w:sz w:val="18"/>
          <w:szCs w:val="18"/>
          <w:lang w:eastAsia="en-GB"/>
        </w:rPr>
        <w:t xml:space="preserve"> </w:t>
      </w:r>
    </w:p>
    <w:p w:rsidR="00921535" w:rsidRPr="00921535" w:rsidRDefault="00921535" w:rsidP="00921535">
      <w:pPr>
        <w:numPr>
          <w:ilvl w:val="0"/>
          <w:numId w:val="1"/>
        </w:numPr>
        <w:spacing w:before="100" w:beforeAutospacing="1" w:after="100" w:afterAutospacing="1" w:line="240" w:lineRule="auto"/>
        <w:ind w:left="870"/>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Working Tax Credit ‘run –on’ – the payment someone may receive for a further four weeks after they stop qualifying for Working Tax Credit</w:t>
      </w:r>
    </w:p>
    <w:p w:rsidR="00921535" w:rsidRPr="00921535" w:rsidRDefault="00921535" w:rsidP="00921535">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921535">
        <w:rPr>
          <w:rFonts w:ascii="Comic Sans MS" w:eastAsia="Times New Roman" w:hAnsi="Comic Sans MS" w:cs="Times New Roman"/>
          <w:b/>
          <w:bCs/>
          <w:color w:val="000000"/>
          <w:sz w:val="24"/>
          <w:szCs w:val="24"/>
          <w:lang w:eastAsia="en-GB"/>
        </w:rPr>
        <w:t xml:space="preserve">Please contact the school office on 01924 302875 if you wish to discuss this. </w:t>
      </w:r>
    </w:p>
    <w:p w:rsidR="00921535" w:rsidRPr="00921535" w:rsidRDefault="00921535" w:rsidP="00921535">
      <w:pPr>
        <w:spacing w:before="100" w:beforeAutospacing="1" w:after="100" w:afterAutospacing="1" w:line="240" w:lineRule="auto"/>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 xml:space="preserve">It is for schools to decide how the Pupil Premium is spent, as they are best placed to assess what additional provision should be made for the individual pupils at their school. </w:t>
      </w:r>
    </w:p>
    <w:p w:rsidR="00921535" w:rsidRPr="00921535" w:rsidRDefault="00921535" w:rsidP="00921535">
      <w:pPr>
        <w:spacing w:before="100" w:beforeAutospacing="1" w:after="100" w:afterAutospacing="1" w:line="240" w:lineRule="auto"/>
        <w:rPr>
          <w:rFonts w:ascii="Arial" w:eastAsia="Times New Roman" w:hAnsi="Arial" w:cs="Arial"/>
          <w:color w:val="000000"/>
          <w:sz w:val="18"/>
          <w:szCs w:val="18"/>
          <w:lang w:eastAsia="en-GB"/>
        </w:rPr>
      </w:pPr>
      <w:r w:rsidRPr="00921535">
        <w:rPr>
          <w:rFonts w:ascii="Comic Sans MS" w:eastAsia="Times New Roman" w:hAnsi="Comic Sans MS" w:cs="Arial"/>
          <w:color w:val="000000"/>
          <w:sz w:val="24"/>
          <w:szCs w:val="24"/>
          <w:lang w:eastAsia="en-GB"/>
        </w:rPr>
        <w:t xml:space="preserve">As well as using the funding for interventions and extra input we provide for pupils academically, we also subsidise school trips and residential visits for pupils who are eligible. We also allow the option for the purchase of school uniform and other out of school activities. </w:t>
      </w:r>
    </w:p>
    <w:p w:rsidR="00921535" w:rsidRDefault="00921535" w:rsidP="007743D0">
      <w:pPr>
        <w:pStyle w:val="NoSpacing"/>
        <w:jc w:val="center"/>
        <w:rPr>
          <w:rFonts w:ascii="Comic Sans MS" w:hAnsi="Comic Sans MS"/>
          <w:b/>
          <w:sz w:val="24"/>
          <w:szCs w:val="24"/>
          <w:u w:val="single"/>
        </w:rPr>
      </w:pPr>
    </w:p>
    <w:p w:rsidR="00921535" w:rsidRDefault="00921535">
      <w:pPr>
        <w:rPr>
          <w:rFonts w:ascii="Comic Sans MS" w:hAnsi="Comic Sans MS"/>
          <w:b/>
          <w:sz w:val="24"/>
          <w:szCs w:val="24"/>
          <w:u w:val="single"/>
        </w:rPr>
      </w:pPr>
      <w:r>
        <w:rPr>
          <w:rFonts w:ascii="Comic Sans MS" w:hAnsi="Comic Sans MS"/>
          <w:b/>
          <w:sz w:val="24"/>
          <w:szCs w:val="24"/>
          <w:u w:val="single"/>
        </w:rPr>
        <w:br w:type="page"/>
      </w:r>
    </w:p>
    <w:p w:rsidR="00F579E5" w:rsidRDefault="00F579E5" w:rsidP="007743D0">
      <w:pPr>
        <w:pStyle w:val="NoSpacing"/>
        <w:jc w:val="center"/>
        <w:rPr>
          <w:rFonts w:ascii="Comic Sans MS" w:hAnsi="Comic Sans MS"/>
          <w:b/>
          <w:sz w:val="24"/>
          <w:szCs w:val="24"/>
          <w:u w:val="single"/>
        </w:rPr>
      </w:pPr>
      <w:r w:rsidRPr="007743D0">
        <w:rPr>
          <w:rFonts w:ascii="Comic Sans MS" w:hAnsi="Comic Sans MS"/>
          <w:b/>
          <w:sz w:val="24"/>
          <w:szCs w:val="24"/>
          <w:u w:val="single"/>
        </w:rPr>
        <w:lastRenderedPageBreak/>
        <w:t>Pupil Premium</w:t>
      </w:r>
      <w:r w:rsidR="00921535">
        <w:rPr>
          <w:rFonts w:ascii="Comic Sans MS" w:hAnsi="Comic Sans MS"/>
          <w:b/>
          <w:sz w:val="24"/>
          <w:szCs w:val="24"/>
          <w:u w:val="single"/>
        </w:rPr>
        <w:t xml:space="preserve"> spend</w:t>
      </w:r>
      <w:r w:rsidRPr="007743D0">
        <w:rPr>
          <w:rFonts w:ascii="Comic Sans MS" w:hAnsi="Comic Sans MS"/>
          <w:b/>
          <w:sz w:val="24"/>
          <w:szCs w:val="24"/>
          <w:u w:val="single"/>
        </w:rPr>
        <w:t xml:space="preserve"> 2015 – 2016</w:t>
      </w:r>
    </w:p>
    <w:p w:rsidR="007743D0" w:rsidRDefault="007743D0" w:rsidP="007743D0">
      <w:pPr>
        <w:pStyle w:val="NoSpacing"/>
        <w:jc w:val="center"/>
        <w:rPr>
          <w:rFonts w:ascii="Comic Sans MS" w:hAnsi="Comic Sans MS"/>
          <w:b/>
          <w:sz w:val="24"/>
          <w:szCs w:val="24"/>
          <w:u w:val="single"/>
        </w:rPr>
      </w:pPr>
    </w:p>
    <w:p w:rsidR="0038577B" w:rsidRDefault="0038577B" w:rsidP="007679B2">
      <w:pPr>
        <w:pStyle w:val="NoSpacing"/>
        <w:rPr>
          <w:rFonts w:ascii="Comic Sans MS" w:hAnsi="Comic Sans MS"/>
          <w:sz w:val="24"/>
          <w:szCs w:val="24"/>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5"/>
      </w:tblGrid>
      <w:tr w:rsidR="001538CB" w:rsidTr="001538CB">
        <w:trPr>
          <w:trHeight w:val="990"/>
        </w:trPr>
        <w:tc>
          <w:tcPr>
            <w:tcW w:w="7845" w:type="dxa"/>
          </w:tcPr>
          <w:p w:rsidR="001538CB" w:rsidRPr="007743D0" w:rsidRDefault="001538CB" w:rsidP="001538CB">
            <w:pPr>
              <w:pStyle w:val="NoSpacing"/>
              <w:rPr>
                <w:rFonts w:ascii="Comic Sans MS" w:hAnsi="Comic Sans MS"/>
                <w:b/>
                <w:sz w:val="24"/>
                <w:szCs w:val="24"/>
                <w:u w:val="single"/>
              </w:rPr>
            </w:pPr>
            <w:r>
              <w:rPr>
                <w:rFonts w:ascii="Comic Sans MS" w:hAnsi="Comic Sans MS"/>
                <w:b/>
                <w:sz w:val="24"/>
                <w:szCs w:val="24"/>
                <w:u w:val="single"/>
              </w:rPr>
              <w:t xml:space="preserve">Total funding </w:t>
            </w:r>
            <w:r w:rsidRPr="007743D0">
              <w:rPr>
                <w:rFonts w:ascii="Comic Sans MS" w:hAnsi="Comic Sans MS"/>
                <w:b/>
                <w:sz w:val="24"/>
                <w:szCs w:val="24"/>
              </w:rPr>
              <w:tab/>
            </w:r>
            <w:r w:rsidRPr="007743D0">
              <w:rPr>
                <w:rFonts w:ascii="Comic Sans MS" w:hAnsi="Comic Sans MS"/>
                <w:b/>
                <w:sz w:val="24"/>
                <w:szCs w:val="24"/>
              </w:rPr>
              <w:tab/>
            </w:r>
            <w:r w:rsidRPr="007743D0">
              <w:rPr>
                <w:rFonts w:ascii="Comic Sans MS" w:hAnsi="Comic Sans MS"/>
                <w:b/>
                <w:sz w:val="24"/>
                <w:szCs w:val="24"/>
              </w:rPr>
              <w:tab/>
            </w:r>
            <w:r w:rsidRPr="007743D0">
              <w:rPr>
                <w:rFonts w:ascii="Comic Sans MS" w:hAnsi="Comic Sans MS"/>
                <w:b/>
                <w:sz w:val="24"/>
                <w:szCs w:val="24"/>
              </w:rPr>
              <w:tab/>
            </w:r>
            <w:r>
              <w:rPr>
                <w:rFonts w:ascii="Comic Sans MS" w:hAnsi="Comic Sans MS"/>
                <w:b/>
                <w:sz w:val="24"/>
                <w:szCs w:val="24"/>
                <w:u w:val="single"/>
              </w:rPr>
              <w:t>£109,000</w:t>
            </w:r>
          </w:p>
          <w:p w:rsidR="001538CB" w:rsidRPr="0003780C" w:rsidRDefault="001538CB" w:rsidP="001538CB">
            <w:pPr>
              <w:pStyle w:val="NoSpacing"/>
              <w:rPr>
                <w:rFonts w:ascii="Comic Sans MS" w:hAnsi="Comic Sans MS"/>
                <w:sz w:val="24"/>
                <w:szCs w:val="24"/>
              </w:rPr>
            </w:pPr>
          </w:p>
          <w:p w:rsidR="001538CB" w:rsidRDefault="001538CB" w:rsidP="001538CB">
            <w:pPr>
              <w:pStyle w:val="NoSpacing"/>
              <w:rPr>
                <w:rFonts w:ascii="Comic Sans MS" w:hAnsi="Comic Sans MS"/>
                <w:sz w:val="24"/>
                <w:szCs w:val="24"/>
              </w:rPr>
            </w:pPr>
            <w:r>
              <w:rPr>
                <w:rFonts w:ascii="Comic Sans MS" w:hAnsi="Comic Sans MS"/>
                <w:sz w:val="24"/>
                <w:szCs w:val="24"/>
              </w:rPr>
              <w:t>Extra support (TA) in KS1</w:t>
            </w:r>
          </w:p>
          <w:p w:rsidR="001538CB" w:rsidRDefault="001538CB" w:rsidP="001538CB">
            <w:pPr>
              <w:pStyle w:val="NoSpacing"/>
              <w:rPr>
                <w:rFonts w:ascii="Comic Sans MS" w:hAnsi="Comic Sans MS"/>
                <w:sz w:val="24"/>
                <w:szCs w:val="24"/>
              </w:rPr>
            </w:pPr>
            <w:r>
              <w:rPr>
                <w:rFonts w:ascii="Comic Sans MS" w:hAnsi="Comic Sans MS"/>
                <w:sz w:val="24"/>
                <w:szCs w:val="24"/>
              </w:rPr>
              <w:t xml:space="preserve">Extra support (TA) in Y4 </w:t>
            </w:r>
            <w:proofErr w:type="spellStart"/>
            <w:r>
              <w:rPr>
                <w:rFonts w:ascii="Comic Sans MS" w:hAnsi="Comic Sans MS"/>
                <w:sz w:val="24"/>
                <w:szCs w:val="24"/>
              </w:rPr>
              <w:t>pms</w:t>
            </w:r>
            <w:proofErr w:type="spellEnd"/>
          </w:p>
          <w:p w:rsidR="001538CB" w:rsidRDefault="001538CB" w:rsidP="001538CB">
            <w:pPr>
              <w:pStyle w:val="NoSpacing"/>
              <w:rPr>
                <w:rFonts w:ascii="Comic Sans MS" w:hAnsi="Comic Sans MS"/>
                <w:sz w:val="24"/>
                <w:szCs w:val="24"/>
              </w:rPr>
            </w:pPr>
            <w:r>
              <w:rPr>
                <w:rFonts w:ascii="Comic Sans MS" w:hAnsi="Comic Sans MS"/>
                <w:sz w:val="24"/>
                <w:szCs w:val="24"/>
              </w:rPr>
              <w:t xml:space="preserve">Extra support in Y1 (TA) </w:t>
            </w:r>
            <w:proofErr w:type="spellStart"/>
            <w:r>
              <w:rPr>
                <w:rFonts w:ascii="Comic Sans MS" w:hAnsi="Comic Sans MS"/>
                <w:sz w:val="24"/>
                <w:szCs w:val="24"/>
              </w:rPr>
              <w:t>pms</w:t>
            </w:r>
            <w:proofErr w:type="spellEnd"/>
          </w:p>
          <w:p w:rsidR="001538CB" w:rsidRDefault="001538CB" w:rsidP="001538CB">
            <w:pPr>
              <w:pStyle w:val="NoSpacing"/>
              <w:rPr>
                <w:rFonts w:ascii="Comic Sans MS" w:hAnsi="Comic Sans MS"/>
                <w:sz w:val="24"/>
                <w:szCs w:val="24"/>
              </w:rPr>
            </w:pPr>
            <w:r>
              <w:rPr>
                <w:rFonts w:ascii="Comic Sans MS" w:hAnsi="Comic Sans MS"/>
                <w:sz w:val="24"/>
                <w:szCs w:val="24"/>
              </w:rPr>
              <w:t xml:space="preserve">Extra support in Y3 (TA) </w:t>
            </w:r>
            <w:proofErr w:type="spellStart"/>
            <w:r>
              <w:rPr>
                <w:rFonts w:ascii="Comic Sans MS" w:hAnsi="Comic Sans MS"/>
                <w:sz w:val="24"/>
                <w:szCs w:val="24"/>
              </w:rPr>
              <w:t>pms</w:t>
            </w:r>
            <w:proofErr w:type="spellEnd"/>
          </w:p>
          <w:p w:rsidR="001538CB" w:rsidRDefault="001538CB" w:rsidP="001538CB">
            <w:pPr>
              <w:pStyle w:val="NoSpacing"/>
              <w:rPr>
                <w:rFonts w:ascii="Comic Sans MS" w:hAnsi="Comic Sans MS"/>
                <w:sz w:val="24"/>
                <w:szCs w:val="24"/>
              </w:rPr>
            </w:pPr>
            <w:r>
              <w:rPr>
                <w:rFonts w:ascii="Comic Sans MS" w:hAnsi="Comic Sans MS"/>
                <w:sz w:val="24"/>
                <w:szCs w:val="24"/>
              </w:rPr>
              <w:t xml:space="preserve">to support PP </w:t>
            </w:r>
            <w:proofErr w:type="spellStart"/>
            <w:r>
              <w:rPr>
                <w:rFonts w:ascii="Comic Sans MS" w:hAnsi="Comic Sans MS"/>
                <w:sz w:val="24"/>
                <w:szCs w:val="24"/>
              </w:rPr>
              <w:t>ch</w:t>
            </w:r>
            <w:proofErr w:type="spellEnd"/>
            <w:r>
              <w:rPr>
                <w:rFonts w:ascii="Comic Sans MS" w:hAnsi="Comic Sans MS"/>
                <w:sz w:val="24"/>
                <w:szCs w:val="24"/>
              </w:rPr>
              <w:t xml:space="preserve"> with NQT</w:t>
            </w:r>
          </w:p>
          <w:p w:rsidR="001538CB" w:rsidRDefault="001538CB" w:rsidP="001538CB">
            <w:pPr>
              <w:pStyle w:val="NoSpacing"/>
              <w:rPr>
                <w:rFonts w:ascii="Comic Sans MS" w:hAnsi="Comic Sans MS"/>
                <w:sz w:val="24"/>
                <w:szCs w:val="24"/>
              </w:rPr>
            </w:pPr>
            <w:r>
              <w:rPr>
                <w:rFonts w:ascii="Comic Sans MS" w:hAnsi="Comic Sans MS"/>
                <w:sz w:val="24"/>
                <w:szCs w:val="24"/>
              </w:rPr>
              <w:t>Total TA support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£25,000</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rsidR="001538CB" w:rsidRPr="0003780C" w:rsidRDefault="001538CB" w:rsidP="001538CB">
            <w:pPr>
              <w:pStyle w:val="NoSpacing"/>
              <w:rPr>
                <w:rFonts w:ascii="Comic Sans MS" w:hAnsi="Comic Sans MS"/>
                <w:sz w:val="24"/>
                <w:szCs w:val="24"/>
              </w:rPr>
            </w:pPr>
            <w:r w:rsidRPr="0038577B">
              <w:rPr>
                <w:rFonts w:ascii="Comic Sans MS" w:hAnsi="Comic Sans MS"/>
                <w:sz w:val="24"/>
                <w:szCs w:val="24"/>
                <w:u w:val="single"/>
              </w:rPr>
              <w:t>Interventions</w:t>
            </w:r>
          </w:p>
          <w:p w:rsidR="001538CB" w:rsidRDefault="001538CB" w:rsidP="001538CB">
            <w:pPr>
              <w:pStyle w:val="NoSpacing"/>
              <w:rPr>
                <w:rFonts w:ascii="Comic Sans MS" w:hAnsi="Comic Sans MS"/>
                <w:sz w:val="24"/>
                <w:szCs w:val="24"/>
              </w:rPr>
            </w:pPr>
            <w:r>
              <w:rPr>
                <w:rFonts w:ascii="Comic Sans MS" w:hAnsi="Comic Sans MS"/>
                <w:sz w:val="24"/>
                <w:szCs w:val="24"/>
              </w:rPr>
              <w:t xml:space="preserve">KS1 </w:t>
            </w:r>
          </w:p>
          <w:p w:rsidR="001538CB" w:rsidRDefault="001538CB" w:rsidP="001538CB">
            <w:pPr>
              <w:pStyle w:val="NoSpacing"/>
              <w:rPr>
                <w:rFonts w:ascii="Comic Sans MS" w:hAnsi="Comic Sans MS"/>
                <w:sz w:val="24"/>
                <w:szCs w:val="24"/>
              </w:rPr>
            </w:pPr>
            <w:r>
              <w:rPr>
                <w:rFonts w:ascii="Comic Sans MS" w:hAnsi="Comic Sans MS"/>
                <w:sz w:val="24"/>
                <w:szCs w:val="24"/>
              </w:rPr>
              <w:t xml:space="preserve">KS2 </w:t>
            </w:r>
          </w:p>
          <w:p w:rsidR="001538CB" w:rsidRPr="0003780C" w:rsidRDefault="001538CB" w:rsidP="001538CB">
            <w:pPr>
              <w:pStyle w:val="NoSpacing"/>
              <w:rPr>
                <w:rFonts w:ascii="Comic Sans MS" w:hAnsi="Comic Sans MS"/>
                <w:sz w:val="24"/>
                <w:szCs w:val="24"/>
              </w:rPr>
            </w:pPr>
            <w:r w:rsidRPr="0003780C">
              <w:rPr>
                <w:rFonts w:ascii="Comic Sans MS" w:hAnsi="Comic Sans MS"/>
                <w:sz w:val="24"/>
                <w:szCs w:val="24"/>
              </w:rPr>
              <w:t xml:space="preserve">12.5 hours each </w:t>
            </w:r>
            <w:r w:rsidRPr="0003780C">
              <w:rPr>
                <w:rFonts w:ascii="Comic Sans MS" w:hAnsi="Comic Sans MS"/>
                <w:sz w:val="24"/>
                <w:szCs w:val="24"/>
              </w:rPr>
              <w:tab/>
            </w:r>
            <w:r w:rsidRPr="0003780C">
              <w:rPr>
                <w:rFonts w:ascii="Comic Sans MS" w:hAnsi="Comic Sans MS"/>
                <w:sz w:val="24"/>
                <w:szCs w:val="24"/>
              </w:rPr>
              <w:tab/>
            </w:r>
            <w:r w:rsidRPr="0003780C">
              <w:rPr>
                <w:rFonts w:ascii="Comic Sans MS" w:hAnsi="Comic Sans MS"/>
                <w:sz w:val="24"/>
                <w:szCs w:val="24"/>
              </w:rPr>
              <w:tab/>
            </w:r>
            <w:r w:rsidRPr="0003780C">
              <w:rPr>
                <w:rFonts w:ascii="Comic Sans MS" w:hAnsi="Comic Sans MS"/>
                <w:sz w:val="24"/>
                <w:szCs w:val="24"/>
              </w:rPr>
              <w:tab/>
              <w:t>£12,500</w:t>
            </w:r>
          </w:p>
          <w:p w:rsidR="001538CB" w:rsidRPr="007743D0" w:rsidRDefault="001538CB" w:rsidP="001538CB">
            <w:pPr>
              <w:pStyle w:val="NoSpacing"/>
              <w:rPr>
                <w:rFonts w:ascii="Comic Sans MS" w:hAnsi="Comic Sans MS"/>
                <w:sz w:val="24"/>
                <w:szCs w:val="24"/>
              </w:rPr>
            </w:pPr>
            <w:r>
              <w:rPr>
                <w:rFonts w:ascii="Comic Sans MS" w:hAnsi="Comic Sans MS"/>
                <w:sz w:val="24"/>
                <w:szCs w:val="24"/>
              </w:rPr>
              <w:t xml:space="preserve">Toe by Toe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7743D0">
              <w:rPr>
                <w:rFonts w:ascii="Comic Sans MS" w:hAnsi="Comic Sans MS"/>
                <w:sz w:val="24"/>
                <w:szCs w:val="24"/>
              </w:rPr>
              <w:t>£6,500</w:t>
            </w:r>
          </w:p>
          <w:p w:rsidR="001538CB" w:rsidRPr="007743D0" w:rsidRDefault="001538CB" w:rsidP="001538CB">
            <w:pPr>
              <w:pStyle w:val="NoSpacing"/>
              <w:rPr>
                <w:rFonts w:ascii="Comic Sans MS" w:hAnsi="Comic Sans MS"/>
                <w:sz w:val="24"/>
                <w:szCs w:val="24"/>
              </w:rPr>
            </w:pPr>
            <w:r>
              <w:rPr>
                <w:rFonts w:ascii="Comic Sans MS" w:hAnsi="Comic Sans MS"/>
                <w:sz w:val="24"/>
                <w:szCs w:val="24"/>
              </w:rPr>
              <w:t xml:space="preserve">Early Birds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7743D0">
              <w:rPr>
                <w:rFonts w:ascii="Comic Sans MS" w:hAnsi="Comic Sans MS"/>
                <w:sz w:val="24"/>
                <w:szCs w:val="24"/>
              </w:rPr>
              <w:t>£12,180</w:t>
            </w:r>
          </w:p>
          <w:p w:rsidR="001538CB" w:rsidRPr="007743D0" w:rsidRDefault="001538CB" w:rsidP="001538CB">
            <w:pPr>
              <w:pStyle w:val="NoSpacing"/>
              <w:rPr>
                <w:rFonts w:ascii="Comic Sans MS" w:hAnsi="Comic Sans MS"/>
                <w:sz w:val="24"/>
                <w:szCs w:val="24"/>
              </w:rPr>
            </w:pPr>
            <w:r>
              <w:rPr>
                <w:rFonts w:ascii="Comic Sans MS" w:hAnsi="Comic Sans MS"/>
                <w:sz w:val="24"/>
                <w:szCs w:val="24"/>
              </w:rPr>
              <w:t xml:space="preserve">Trips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7743D0">
              <w:rPr>
                <w:rFonts w:ascii="Comic Sans MS" w:hAnsi="Comic Sans MS"/>
                <w:sz w:val="24"/>
                <w:szCs w:val="24"/>
              </w:rPr>
              <w:t>£1270</w:t>
            </w:r>
          </w:p>
          <w:p w:rsidR="001538CB" w:rsidRPr="007743D0" w:rsidRDefault="001538CB" w:rsidP="001538CB">
            <w:pPr>
              <w:pStyle w:val="NoSpacing"/>
              <w:rPr>
                <w:rFonts w:ascii="Comic Sans MS" w:hAnsi="Comic Sans MS"/>
                <w:sz w:val="24"/>
                <w:szCs w:val="24"/>
              </w:rPr>
            </w:pPr>
            <w:proofErr w:type="spellStart"/>
            <w:r>
              <w:rPr>
                <w:rFonts w:ascii="Comic Sans MS" w:hAnsi="Comic Sans MS"/>
                <w:sz w:val="24"/>
                <w:szCs w:val="24"/>
              </w:rPr>
              <w:t>Residentials</w:t>
            </w:r>
            <w:proofErr w:type="spellEnd"/>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7743D0">
              <w:rPr>
                <w:rFonts w:ascii="Comic Sans MS" w:hAnsi="Comic Sans MS"/>
                <w:sz w:val="24"/>
                <w:szCs w:val="24"/>
              </w:rPr>
              <w:t>£3580</w:t>
            </w:r>
          </w:p>
          <w:p w:rsidR="001538CB" w:rsidRDefault="001538CB" w:rsidP="001538CB">
            <w:pPr>
              <w:pStyle w:val="NoSpacing"/>
              <w:rPr>
                <w:rFonts w:ascii="Comic Sans MS" w:hAnsi="Comic Sans MS"/>
                <w:sz w:val="24"/>
                <w:szCs w:val="24"/>
              </w:rPr>
            </w:pPr>
            <w:r>
              <w:rPr>
                <w:rFonts w:ascii="Comic Sans MS" w:hAnsi="Comic Sans MS"/>
                <w:sz w:val="24"/>
                <w:szCs w:val="24"/>
              </w:rPr>
              <w:t xml:space="preserve">Uniform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7743D0">
              <w:rPr>
                <w:rFonts w:ascii="Comic Sans MS" w:hAnsi="Comic Sans MS"/>
                <w:sz w:val="24"/>
                <w:szCs w:val="24"/>
              </w:rPr>
              <w:t>£1500</w:t>
            </w:r>
          </w:p>
          <w:p w:rsidR="001538CB" w:rsidRDefault="001538CB" w:rsidP="001538CB">
            <w:pPr>
              <w:pStyle w:val="NoSpacing"/>
              <w:rPr>
                <w:rFonts w:ascii="Comic Sans MS" w:hAnsi="Comic Sans MS"/>
                <w:sz w:val="24"/>
                <w:szCs w:val="24"/>
              </w:rPr>
            </w:pPr>
            <w:r>
              <w:rPr>
                <w:rFonts w:ascii="Comic Sans MS" w:hAnsi="Comic Sans MS"/>
                <w:sz w:val="24"/>
                <w:szCs w:val="24"/>
              </w:rPr>
              <w:t>Breakfast Club</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£3000</w:t>
            </w:r>
          </w:p>
          <w:p w:rsidR="001538CB" w:rsidRDefault="001538CB" w:rsidP="001538CB">
            <w:pPr>
              <w:pStyle w:val="NoSpacing"/>
              <w:rPr>
                <w:rFonts w:ascii="Comic Sans MS" w:hAnsi="Comic Sans MS"/>
                <w:sz w:val="24"/>
                <w:szCs w:val="24"/>
              </w:rPr>
            </w:pPr>
            <w:r>
              <w:rPr>
                <w:rFonts w:ascii="Comic Sans MS" w:hAnsi="Comic Sans MS"/>
                <w:sz w:val="24"/>
                <w:szCs w:val="24"/>
              </w:rPr>
              <w:t>Learning Mentor proportion</w:t>
            </w:r>
            <w:r>
              <w:rPr>
                <w:rFonts w:ascii="Comic Sans MS" w:hAnsi="Comic Sans MS"/>
                <w:sz w:val="24"/>
                <w:szCs w:val="24"/>
              </w:rPr>
              <w:tab/>
            </w:r>
            <w:r>
              <w:rPr>
                <w:rFonts w:ascii="Comic Sans MS" w:hAnsi="Comic Sans MS"/>
                <w:sz w:val="24"/>
                <w:szCs w:val="24"/>
              </w:rPr>
              <w:tab/>
              <w:t>£15000</w:t>
            </w:r>
          </w:p>
          <w:p w:rsidR="001538CB" w:rsidRDefault="001538CB" w:rsidP="001538CB">
            <w:pPr>
              <w:pStyle w:val="NoSpacing"/>
              <w:rPr>
                <w:rFonts w:ascii="Comic Sans MS" w:hAnsi="Comic Sans MS"/>
                <w:sz w:val="24"/>
                <w:szCs w:val="24"/>
              </w:rPr>
            </w:pPr>
            <w:r>
              <w:rPr>
                <w:rFonts w:ascii="Comic Sans MS" w:hAnsi="Comic Sans MS"/>
                <w:sz w:val="24"/>
                <w:szCs w:val="24"/>
              </w:rPr>
              <w:t>LTS</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£3000</w:t>
            </w:r>
          </w:p>
          <w:p w:rsidR="001538CB" w:rsidRDefault="001538CB" w:rsidP="001538CB">
            <w:pPr>
              <w:pStyle w:val="NoSpacing"/>
              <w:rPr>
                <w:rFonts w:ascii="Comic Sans MS" w:hAnsi="Comic Sans MS"/>
                <w:sz w:val="24"/>
                <w:szCs w:val="24"/>
              </w:rPr>
            </w:pPr>
            <w:r>
              <w:rPr>
                <w:rFonts w:ascii="Comic Sans MS" w:hAnsi="Comic Sans MS"/>
                <w:sz w:val="24"/>
                <w:szCs w:val="24"/>
              </w:rPr>
              <w:t>Extra tuition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£10000</w:t>
            </w:r>
          </w:p>
          <w:p w:rsidR="001538CB" w:rsidRDefault="001538CB" w:rsidP="001538CB">
            <w:pPr>
              <w:pStyle w:val="NoSpacing"/>
              <w:rPr>
                <w:rFonts w:ascii="Comic Sans MS" w:hAnsi="Comic Sans MS"/>
                <w:sz w:val="24"/>
                <w:szCs w:val="24"/>
              </w:rPr>
            </w:pPr>
            <w:r>
              <w:rPr>
                <w:rFonts w:ascii="Comic Sans MS" w:hAnsi="Comic Sans MS"/>
                <w:sz w:val="24"/>
                <w:szCs w:val="24"/>
              </w:rPr>
              <w:t xml:space="preserve">Peers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£2600</w:t>
            </w:r>
          </w:p>
          <w:p w:rsidR="001538CB" w:rsidRDefault="001538CB" w:rsidP="001538CB">
            <w:pPr>
              <w:pStyle w:val="NoSpacing"/>
              <w:rPr>
                <w:rFonts w:ascii="Comic Sans MS" w:hAnsi="Comic Sans MS"/>
                <w:sz w:val="24"/>
                <w:szCs w:val="24"/>
              </w:rPr>
            </w:pPr>
          </w:p>
          <w:p w:rsidR="001538CB" w:rsidRPr="0003780C" w:rsidRDefault="001538CB" w:rsidP="001538CB">
            <w:pPr>
              <w:pStyle w:val="NoSpacing"/>
              <w:rPr>
                <w:rFonts w:ascii="Comic Sans MS" w:hAnsi="Comic Sans MS"/>
                <w:b/>
                <w:sz w:val="24"/>
                <w:szCs w:val="24"/>
              </w:rPr>
            </w:pPr>
            <w:r w:rsidRPr="0003780C">
              <w:rPr>
                <w:rFonts w:ascii="Comic Sans MS" w:hAnsi="Comic Sans MS"/>
                <w:b/>
                <w:sz w:val="24"/>
                <w:szCs w:val="24"/>
              </w:rPr>
              <w:t>TOTAL</w:t>
            </w:r>
            <w:r w:rsidRPr="0003780C">
              <w:rPr>
                <w:rFonts w:ascii="Comic Sans MS" w:hAnsi="Comic Sans MS"/>
                <w:b/>
                <w:sz w:val="24"/>
                <w:szCs w:val="24"/>
              </w:rPr>
              <w:tab/>
            </w:r>
            <w:r w:rsidRPr="0003780C">
              <w:rPr>
                <w:rFonts w:ascii="Comic Sans MS" w:hAnsi="Comic Sans MS"/>
                <w:b/>
                <w:sz w:val="24"/>
                <w:szCs w:val="24"/>
              </w:rPr>
              <w:tab/>
            </w:r>
            <w:r w:rsidRPr="0003780C">
              <w:rPr>
                <w:rFonts w:ascii="Comic Sans MS" w:hAnsi="Comic Sans MS"/>
                <w:b/>
                <w:sz w:val="24"/>
                <w:szCs w:val="24"/>
              </w:rPr>
              <w:tab/>
            </w:r>
            <w:r w:rsidRPr="0003780C">
              <w:rPr>
                <w:rFonts w:ascii="Comic Sans MS" w:hAnsi="Comic Sans MS"/>
                <w:b/>
                <w:sz w:val="24"/>
                <w:szCs w:val="24"/>
              </w:rPr>
              <w:tab/>
            </w:r>
            <w:r w:rsidRPr="0003780C">
              <w:rPr>
                <w:rFonts w:ascii="Comic Sans MS" w:hAnsi="Comic Sans MS"/>
                <w:b/>
                <w:sz w:val="24"/>
                <w:szCs w:val="24"/>
              </w:rPr>
              <w:tab/>
              <w:t xml:space="preserve">£110,130 </w:t>
            </w:r>
          </w:p>
          <w:p w:rsidR="001538CB" w:rsidRDefault="001538CB" w:rsidP="001538CB">
            <w:pPr>
              <w:pStyle w:val="NoSpacing"/>
              <w:ind w:left="-75"/>
              <w:rPr>
                <w:rFonts w:ascii="Comic Sans MS" w:hAnsi="Comic Sans MS"/>
                <w:sz w:val="24"/>
                <w:szCs w:val="24"/>
              </w:rPr>
            </w:pPr>
          </w:p>
          <w:p w:rsidR="001538CB" w:rsidRDefault="001538CB" w:rsidP="001538CB">
            <w:pPr>
              <w:pStyle w:val="NoSpacing"/>
              <w:ind w:left="-75"/>
              <w:rPr>
                <w:rFonts w:ascii="Comic Sans MS" w:hAnsi="Comic Sans MS"/>
                <w:sz w:val="24"/>
                <w:szCs w:val="24"/>
              </w:rPr>
            </w:pPr>
          </w:p>
        </w:tc>
      </w:tr>
    </w:tbl>
    <w:p w:rsidR="00F579E5" w:rsidRDefault="00F579E5">
      <w:pPr>
        <w:rPr>
          <w:rFonts w:ascii="Comic Sans MS" w:hAnsi="Comic Sans MS"/>
          <w:sz w:val="24"/>
          <w:szCs w:val="24"/>
        </w:rPr>
      </w:pPr>
    </w:p>
    <w:p w:rsidR="001538CB" w:rsidRDefault="001538CB">
      <w:pPr>
        <w:rPr>
          <w:rFonts w:ascii="Comic Sans MS" w:hAnsi="Comic Sans MS"/>
          <w:sz w:val="24"/>
          <w:szCs w:val="24"/>
        </w:rPr>
      </w:pPr>
      <w:r>
        <w:rPr>
          <w:rFonts w:ascii="Comic Sans MS" w:hAnsi="Comic Sans MS"/>
          <w:sz w:val="24"/>
          <w:szCs w:val="24"/>
        </w:rPr>
        <w:t>End of year results 2015</w:t>
      </w:r>
      <w:r w:rsidR="00531A96">
        <w:rPr>
          <w:rFonts w:ascii="Comic Sans MS" w:hAnsi="Comic Sans MS"/>
          <w:sz w:val="24"/>
          <w:szCs w:val="24"/>
        </w:rPr>
        <w:t xml:space="preserve">. </w:t>
      </w:r>
      <w:bookmarkStart w:id="0" w:name="_GoBack"/>
      <w:bookmarkEnd w:id="0"/>
    </w:p>
    <w:p w:rsidR="001538CB" w:rsidRDefault="001538CB">
      <w:pPr>
        <w:rPr>
          <w:rFonts w:ascii="Comic Sans MS" w:hAnsi="Comic Sans MS"/>
          <w:sz w:val="24"/>
          <w:szCs w:val="24"/>
        </w:rPr>
      </w:pPr>
      <w:r>
        <w:rPr>
          <w:rFonts w:ascii="Comic Sans MS" w:hAnsi="Comic Sans MS"/>
          <w:sz w:val="24"/>
          <w:szCs w:val="24"/>
        </w:rPr>
        <w:t>(</w:t>
      </w:r>
      <w:proofErr w:type="gramStart"/>
      <w:r>
        <w:rPr>
          <w:rFonts w:ascii="Comic Sans MS" w:hAnsi="Comic Sans MS"/>
          <w:sz w:val="24"/>
          <w:szCs w:val="24"/>
        </w:rPr>
        <w:t>see</w:t>
      </w:r>
      <w:proofErr w:type="gramEnd"/>
      <w:r>
        <w:rPr>
          <w:rFonts w:ascii="Comic Sans MS" w:hAnsi="Comic Sans MS"/>
          <w:sz w:val="24"/>
          <w:szCs w:val="24"/>
        </w:rPr>
        <w:t xml:space="preserve"> table below) </w:t>
      </w:r>
    </w:p>
    <w:p w:rsidR="001538CB" w:rsidRDefault="001538CB">
      <w:pPr>
        <w:rPr>
          <w:rFonts w:ascii="Comic Sans MS" w:hAnsi="Comic Sans MS"/>
          <w:sz w:val="24"/>
          <w:szCs w:val="24"/>
        </w:rPr>
      </w:pPr>
    </w:p>
    <w:p w:rsidR="001538CB" w:rsidRDefault="001538CB">
      <w:pPr>
        <w:rPr>
          <w:rFonts w:ascii="Comic Sans MS" w:hAnsi="Comic Sans MS"/>
          <w:sz w:val="24"/>
          <w:szCs w:val="24"/>
        </w:rPr>
      </w:pPr>
    </w:p>
    <w:p w:rsidR="001538CB" w:rsidRDefault="001538CB">
      <w:pPr>
        <w:rPr>
          <w:rFonts w:ascii="Comic Sans MS" w:hAnsi="Comic Sans MS"/>
          <w:sz w:val="24"/>
          <w:szCs w:val="24"/>
        </w:rPr>
      </w:pPr>
    </w:p>
    <w:p w:rsidR="001538CB" w:rsidRDefault="001538CB">
      <w:pPr>
        <w:rPr>
          <w:rFonts w:ascii="Comic Sans MS" w:hAnsi="Comic Sans MS"/>
          <w:sz w:val="24"/>
          <w:szCs w:val="24"/>
        </w:rPr>
      </w:pPr>
    </w:p>
    <w:p w:rsidR="001538CB" w:rsidRDefault="001538CB">
      <w:pPr>
        <w:rPr>
          <w:rFonts w:ascii="Comic Sans MS" w:hAnsi="Comic Sans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1538CB" w:rsidRPr="001538CB" w:rsidTr="00244D85">
        <w:tc>
          <w:tcPr>
            <w:tcW w:w="1809" w:type="dxa"/>
            <w:shd w:val="clear" w:color="auto" w:fill="auto"/>
          </w:tcPr>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KS1</w:t>
            </w:r>
          </w:p>
        </w:tc>
        <w:tc>
          <w:tcPr>
            <w:tcW w:w="7433" w:type="dxa"/>
            <w:shd w:val="clear" w:color="auto" w:fill="auto"/>
          </w:tcPr>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 xml:space="preserve">Nationally Pupil Premium pupils achieved higher results in L2B+ for Reading, Writing and Maths at KS1. </w:t>
            </w:r>
          </w:p>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In Maths, 90% of non-Pupil Premium achieved L2B+, with 53% of Pupil Premium pupils achieving this. This shows a gap of 37%. The gap Nationally is 16%</w:t>
            </w:r>
          </w:p>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In Reading, 90% of non-Pupil Premium achieved L2B+, with 60% of Pupil Premium pupils achieving this. This shows a gap of 30%. The gap Nationally is 16%</w:t>
            </w:r>
          </w:p>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In Writing, 73% of non-Pupil Premium achieved L2B+, with 47% of Pupil Premium pupils achieving this. This shows a gap of 26%. The gap Nationally is 19%</w:t>
            </w:r>
          </w:p>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 xml:space="preserve">More Pupil Premium pupils have been targeted for support in KS1 for specific interventions. </w:t>
            </w:r>
          </w:p>
        </w:tc>
      </w:tr>
      <w:tr w:rsidR="001538CB" w:rsidRPr="001538CB" w:rsidTr="00244D85">
        <w:tc>
          <w:tcPr>
            <w:tcW w:w="1809" w:type="dxa"/>
            <w:shd w:val="clear" w:color="auto" w:fill="auto"/>
          </w:tcPr>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KS2</w:t>
            </w:r>
          </w:p>
        </w:tc>
        <w:tc>
          <w:tcPr>
            <w:tcW w:w="7433" w:type="dxa"/>
            <w:shd w:val="clear" w:color="auto" w:fill="auto"/>
          </w:tcPr>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 xml:space="preserve">87% of Pupil Premium pupils achieved L4B+ in Reading, Writing and Maths. This is significantly higher than the National result which was 53% (2014). This means that our Pupil Premium pupils achieved higher than other Pupil Premium pupils nationally. </w:t>
            </w:r>
          </w:p>
          <w:p w:rsidR="001538CB" w:rsidRPr="001538CB" w:rsidRDefault="001538CB" w:rsidP="001538CB">
            <w:pPr>
              <w:spacing w:before="100" w:beforeAutospacing="1" w:after="100" w:afterAutospacing="1" w:line="240" w:lineRule="auto"/>
              <w:rPr>
                <w:rFonts w:ascii="Comic Sans MS" w:eastAsia="Times New Roman" w:hAnsi="Comic Sans MS" w:cs="Arial"/>
                <w:color w:val="000000"/>
                <w:sz w:val="24"/>
                <w:szCs w:val="24"/>
                <w:lang w:eastAsia="en-GB"/>
              </w:rPr>
            </w:pPr>
            <w:r w:rsidRPr="001538CB">
              <w:rPr>
                <w:rFonts w:ascii="Comic Sans MS" w:eastAsia="Times New Roman" w:hAnsi="Comic Sans MS" w:cs="Arial"/>
                <w:color w:val="000000"/>
                <w:sz w:val="24"/>
                <w:szCs w:val="24"/>
                <w:lang w:eastAsia="en-GB"/>
              </w:rPr>
              <w:t xml:space="preserve">83% of </w:t>
            </w:r>
            <w:proofErr w:type="spellStart"/>
            <w:r w:rsidRPr="001538CB">
              <w:rPr>
                <w:rFonts w:ascii="Comic Sans MS" w:eastAsia="Times New Roman" w:hAnsi="Comic Sans MS" w:cs="Arial"/>
                <w:color w:val="000000"/>
                <w:sz w:val="24"/>
                <w:szCs w:val="24"/>
                <w:lang w:eastAsia="en-GB"/>
              </w:rPr>
              <w:t>non Pupil</w:t>
            </w:r>
            <w:proofErr w:type="spellEnd"/>
            <w:r w:rsidRPr="001538CB">
              <w:rPr>
                <w:rFonts w:ascii="Comic Sans MS" w:eastAsia="Times New Roman" w:hAnsi="Comic Sans MS" w:cs="Arial"/>
                <w:color w:val="000000"/>
                <w:sz w:val="24"/>
                <w:szCs w:val="24"/>
                <w:lang w:eastAsia="en-GB"/>
              </w:rPr>
              <w:t xml:space="preserve"> Premium pupils achieved L4B+ in Reading, Writing and Maths (compared with 87% Pupil Premium) which means that the PP pupils outperformed non-pupil pupils by 4%</w:t>
            </w:r>
          </w:p>
        </w:tc>
      </w:tr>
    </w:tbl>
    <w:p w:rsidR="001538CB" w:rsidRDefault="001538CB">
      <w:pPr>
        <w:rPr>
          <w:rFonts w:ascii="Comic Sans MS" w:hAnsi="Comic Sans MS"/>
          <w:sz w:val="24"/>
          <w:szCs w:val="24"/>
        </w:rPr>
      </w:pPr>
    </w:p>
    <w:p w:rsidR="001538CB" w:rsidRDefault="001538CB">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p>
    <w:p w:rsidR="00531A96" w:rsidRDefault="00531A96">
      <w:pPr>
        <w:rPr>
          <w:rFonts w:ascii="Comic Sans MS" w:hAnsi="Comic Sans MS"/>
          <w:sz w:val="24"/>
          <w:szCs w:val="24"/>
        </w:rPr>
      </w:pPr>
      <w:r>
        <w:rPr>
          <w:rFonts w:ascii="Comic Sans MS" w:hAnsi="Comic Sans MS"/>
          <w:sz w:val="24"/>
          <w:szCs w:val="24"/>
        </w:rPr>
        <w:lastRenderedPageBreak/>
        <w:t xml:space="preserve">The impact of spending for 2015-2016 can be seen in our </w:t>
      </w:r>
    </w:p>
    <w:p w:rsidR="00531A96" w:rsidRDefault="00531A96" w:rsidP="00531A96">
      <w:pPr>
        <w:jc w:val="center"/>
        <w:rPr>
          <w:rFonts w:ascii="Comic Sans MS" w:hAnsi="Comic Sans MS"/>
          <w:sz w:val="24"/>
          <w:szCs w:val="24"/>
        </w:rPr>
      </w:pPr>
      <w:r w:rsidRPr="00531A96">
        <w:rPr>
          <w:rFonts w:ascii="Comic Sans MS" w:hAnsi="Comic Sans MS"/>
          <w:b/>
          <w:sz w:val="24"/>
          <w:szCs w:val="24"/>
        </w:rPr>
        <w:t>2016 end of year results</w:t>
      </w:r>
    </w:p>
    <w:p w:rsidR="00531A96" w:rsidRDefault="00531A96">
      <w:pPr>
        <w:rPr>
          <w:rFonts w:ascii="Comic Sans MS" w:hAnsi="Comic Sans MS"/>
          <w:sz w:val="24"/>
          <w:szCs w:val="24"/>
        </w:rPr>
      </w:pPr>
    </w:p>
    <w:tbl>
      <w:tblPr>
        <w:tblStyle w:val="TableGrid"/>
        <w:tblpPr w:leftFromText="180" w:rightFromText="180" w:vertAnchor="page" w:horzAnchor="margin" w:tblpX="-601" w:tblpY="3721"/>
        <w:tblW w:w="10444" w:type="dxa"/>
        <w:tblLook w:val="04A0" w:firstRow="1" w:lastRow="0" w:firstColumn="1" w:lastColumn="0" w:noHBand="0" w:noVBand="1"/>
      </w:tblPr>
      <w:tblGrid>
        <w:gridCol w:w="1229"/>
        <w:gridCol w:w="680"/>
        <w:gridCol w:w="1418"/>
        <w:gridCol w:w="2304"/>
        <w:gridCol w:w="82"/>
        <w:gridCol w:w="2217"/>
        <w:gridCol w:w="404"/>
        <w:gridCol w:w="2110"/>
      </w:tblGrid>
      <w:tr w:rsidR="00531A96" w:rsidTr="00CB1432">
        <w:tc>
          <w:tcPr>
            <w:tcW w:w="10444" w:type="dxa"/>
            <w:gridSpan w:val="8"/>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At South Parade Primary School, in KS2 our 14 disadvantaged children did very well compared to those disadvantaged children nationally, particularly in Reading, Maths and Spelling, Punctuation and Grammar (GPS).  We are slightly below national for writing. </w:t>
            </w:r>
          </w:p>
          <w:p w:rsidR="00531A96" w:rsidRDefault="00531A96" w:rsidP="00CB1432">
            <w:pPr>
              <w:pStyle w:val="NoSpacing"/>
              <w:rPr>
                <w:rFonts w:ascii="Century Gothic" w:hAnsi="Century Gothic"/>
                <w:sz w:val="24"/>
                <w:szCs w:val="24"/>
              </w:rPr>
            </w:pPr>
          </w:p>
        </w:tc>
      </w:tr>
      <w:tr w:rsidR="00531A96" w:rsidTr="00CB1432">
        <w:tc>
          <w:tcPr>
            <w:tcW w:w="1229" w:type="dxa"/>
          </w:tcPr>
          <w:p w:rsidR="00531A96" w:rsidRDefault="00531A96" w:rsidP="00CB1432">
            <w:pPr>
              <w:pStyle w:val="NoSpacing"/>
              <w:jc w:val="right"/>
              <w:rPr>
                <w:rFonts w:ascii="Century Gothic" w:hAnsi="Century Gothic"/>
                <w:sz w:val="24"/>
                <w:szCs w:val="24"/>
              </w:rPr>
            </w:pPr>
          </w:p>
          <w:p w:rsidR="00531A96" w:rsidRDefault="00531A96" w:rsidP="00CB1432">
            <w:pPr>
              <w:pStyle w:val="NoSpacing"/>
              <w:jc w:val="right"/>
              <w:rPr>
                <w:rFonts w:ascii="Century Gothic" w:hAnsi="Century Gothic"/>
                <w:sz w:val="24"/>
                <w:szCs w:val="24"/>
              </w:rPr>
            </w:pPr>
          </w:p>
        </w:tc>
        <w:tc>
          <w:tcPr>
            <w:tcW w:w="2098"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Disadvantaged </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at South Parade </w:t>
            </w:r>
          </w:p>
        </w:tc>
        <w:tc>
          <w:tcPr>
            <w:tcW w:w="2386"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Disadvantaged</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 nationally </w:t>
            </w:r>
          </w:p>
        </w:tc>
        <w:tc>
          <w:tcPr>
            <w:tcW w:w="2217" w:type="dxa"/>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National </w:t>
            </w:r>
          </w:p>
          <w:p w:rsidR="00531A96" w:rsidRDefault="00531A96" w:rsidP="00CB1432">
            <w:pPr>
              <w:pStyle w:val="NoSpacing"/>
              <w:rPr>
                <w:rFonts w:ascii="Century Gothic" w:hAnsi="Century Gothic"/>
                <w:sz w:val="24"/>
                <w:szCs w:val="24"/>
              </w:rPr>
            </w:pPr>
            <w:r>
              <w:rPr>
                <w:rFonts w:ascii="Century Gothic" w:hAnsi="Century Gothic"/>
                <w:sz w:val="24"/>
                <w:szCs w:val="24"/>
              </w:rPr>
              <w:t>Attainment</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 (</w:t>
            </w:r>
            <w:r w:rsidRPr="00A144B0">
              <w:rPr>
                <w:rFonts w:ascii="Century Gothic" w:hAnsi="Century Gothic"/>
                <w:b/>
                <w:sz w:val="24"/>
                <w:szCs w:val="24"/>
              </w:rPr>
              <w:t>ALL</w:t>
            </w:r>
            <w:r>
              <w:rPr>
                <w:rFonts w:ascii="Century Gothic" w:hAnsi="Century Gothic"/>
                <w:sz w:val="24"/>
                <w:szCs w:val="24"/>
              </w:rPr>
              <w:t xml:space="preserve"> PUPILS</w:t>
            </w:r>
          </w:p>
          <w:p w:rsidR="00531A96" w:rsidRDefault="00531A96" w:rsidP="00CB1432">
            <w:pPr>
              <w:pStyle w:val="NoSpacing"/>
              <w:rPr>
                <w:rFonts w:ascii="Century Gothic" w:hAnsi="Century Gothic"/>
                <w:sz w:val="24"/>
                <w:szCs w:val="24"/>
              </w:rPr>
            </w:pPr>
            <w:r>
              <w:rPr>
                <w:rFonts w:ascii="Century Gothic" w:hAnsi="Century Gothic"/>
                <w:sz w:val="24"/>
                <w:szCs w:val="24"/>
              </w:rPr>
              <w:t>Disadvantaged + non-disadvantaged)</w:t>
            </w:r>
          </w:p>
        </w:tc>
        <w:tc>
          <w:tcPr>
            <w:tcW w:w="2514" w:type="dxa"/>
            <w:gridSpan w:val="2"/>
          </w:tcPr>
          <w:p w:rsidR="00531A96" w:rsidRPr="00A144B0" w:rsidRDefault="00531A96" w:rsidP="00CB1432">
            <w:pPr>
              <w:rPr>
                <w:rFonts w:ascii="Century Gothic" w:hAnsi="Century Gothic"/>
                <w:b/>
                <w:sz w:val="24"/>
                <w:szCs w:val="24"/>
              </w:rPr>
            </w:pPr>
            <w:r>
              <w:rPr>
                <w:rFonts w:ascii="Century Gothic" w:hAnsi="Century Gothic"/>
                <w:sz w:val="24"/>
                <w:szCs w:val="24"/>
              </w:rPr>
              <w:t xml:space="preserve">National </w:t>
            </w:r>
            <w:r w:rsidRPr="00A144B0">
              <w:rPr>
                <w:rFonts w:ascii="Century Gothic" w:hAnsi="Century Gothic"/>
                <w:b/>
                <w:sz w:val="24"/>
                <w:szCs w:val="24"/>
              </w:rPr>
              <w:t>other</w:t>
            </w:r>
          </w:p>
          <w:p w:rsidR="00531A96" w:rsidRDefault="00531A96" w:rsidP="00CB1432">
            <w:pPr>
              <w:rPr>
                <w:rFonts w:ascii="Century Gothic" w:hAnsi="Century Gothic"/>
                <w:sz w:val="24"/>
                <w:szCs w:val="24"/>
              </w:rPr>
            </w:pPr>
            <w:r>
              <w:rPr>
                <w:rFonts w:ascii="Century Gothic" w:hAnsi="Century Gothic"/>
                <w:sz w:val="24"/>
                <w:szCs w:val="24"/>
              </w:rPr>
              <w:t>(Pupils who are NOT disadvantaged)</w:t>
            </w:r>
          </w:p>
          <w:p w:rsidR="00531A96" w:rsidRDefault="00531A96" w:rsidP="00CB1432">
            <w:pPr>
              <w:pStyle w:val="NoSpacing"/>
              <w:rPr>
                <w:rFonts w:ascii="Century Gothic" w:hAnsi="Century Gothic"/>
                <w:sz w:val="24"/>
                <w:szCs w:val="24"/>
              </w:rPr>
            </w:pPr>
          </w:p>
        </w:tc>
      </w:tr>
      <w:tr w:rsidR="00531A96" w:rsidTr="00CB1432">
        <w:tc>
          <w:tcPr>
            <w:tcW w:w="1229" w:type="dxa"/>
          </w:tcPr>
          <w:p w:rsidR="00531A96" w:rsidRDefault="00531A96" w:rsidP="00CB1432">
            <w:pPr>
              <w:pStyle w:val="NoSpacing"/>
              <w:rPr>
                <w:rFonts w:ascii="Century Gothic" w:hAnsi="Century Gothic"/>
                <w:sz w:val="24"/>
                <w:szCs w:val="24"/>
              </w:rPr>
            </w:pPr>
            <w:r>
              <w:rPr>
                <w:rFonts w:ascii="Century Gothic" w:hAnsi="Century Gothic"/>
                <w:sz w:val="24"/>
                <w:szCs w:val="24"/>
              </w:rPr>
              <w:t>Reading</w:t>
            </w:r>
          </w:p>
        </w:tc>
        <w:tc>
          <w:tcPr>
            <w:tcW w:w="2098"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57%</w:t>
            </w:r>
          </w:p>
        </w:tc>
        <w:tc>
          <w:tcPr>
            <w:tcW w:w="2386"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53%</w:t>
            </w:r>
          </w:p>
        </w:tc>
        <w:tc>
          <w:tcPr>
            <w:tcW w:w="2217"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66%</w:t>
            </w:r>
          </w:p>
        </w:tc>
        <w:tc>
          <w:tcPr>
            <w:tcW w:w="2514"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72%</w:t>
            </w:r>
          </w:p>
        </w:tc>
      </w:tr>
      <w:tr w:rsidR="00531A96" w:rsidTr="00CB1432">
        <w:tc>
          <w:tcPr>
            <w:tcW w:w="1229" w:type="dxa"/>
          </w:tcPr>
          <w:p w:rsidR="00531A96" w:rsidRDefault="00531A96" w:rsidP="00CB1432">
            <w:pPr>
              <w:pStyle w:val="NoSpacing"/>
              <w:rPr>
                <w:rFonts w:ascii="Century Gothic" w:hAnsi="Century Gothic"/>
                <w:sz w:val="24"/>
                <w:szCs w:val="24"/>
              </w:rPr>
            </w:pPr>
            <w:r>
              <w:rPr>
                <w:rFonts w:ascii="Century Gothic" w:hAnsi="Century Gothic"/>
                <w:sz w:val="24"/>
                <w:szCs w:val="24"/>
              </w:rPr>
              <w:t>Writing</w:t>
            </w:r>
          </w:p>
        </w:tc>
        <w:tc>
          <w:tcPr>
            <w:tcW w:w="2098"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57%</w:t>
            </w:r>
          </w:p>
        </w:tc>
        <w:tc>
          <w:tcPr>
            <w:tcW w:w="2386"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64%</w:t>
            </w:r>
          </w:p>
        </w:tc>
        <w:tc>
          <w:tcPr>
            <w:tcW w:w="2217"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74%</w:t>
            </w:r>
          </w:p>
        </w:tc>
        <w:tc>
          <w:tcPr>
            <w:tcW w:w="2514"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79%</w:t>
            </w:r>
          </w:p>
        </w:tc>
      </w:tr>
      <w:tr w:rsidR="00531A96" w:rsidTr="00CB1432">
        <w:tc>
          <w:tcPr>
            <w:tcW w:w="1229" w:type="dxa"/>
          </w:tcPr>
          <w:p w:rsidR="00531A96" w:rsidRDefault="00531A96" w:rsidP="00CB1432">
            <w:pPr>
              <w:pStyle w:val="NoSpacing"/>
              <w:rPr>
                <w:rFonts w:ascii="Century Gothic" w:hAnsi="Century Gothic"/>
                <w:sz w:val="24"/>
                <w:szCs w:val="24"/>
              </w:rPr>
            </w:pPr>
            <w:r>
              <w:rPr>
                <w:rFonts w:ascii="Century Gothic" w:hAnsi="Century Gothic"/>
                <w:sz w:val="24"/>
                <w:szCs w:val="24"/>
              </w:rPr>
              <w:t>Maths</w:t>
            </w:r>
          </w:p>
        </w:tc>
        <w:tc>
          <w:tcPr>
            <w:tcW w:w="2098"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71%</w:t>
            </w:r>
          </w:p>
        </w:tc>
        <w:tc>
          <w:tcPr>
            <w:tcW w:w="2386"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 xml:space="preserve">61% </w:t>
            </w:r>
          </w:p>
        </w:tc>
        <w:tc>
          <w:tcPr>
            <w:tcW w:w="2217"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70%</w:t>
            </w:r>
          </w:p>
        </w:tc>
        <w:tc>
          <w:tcPr>
            <w:tcW w:w="2514"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76%</w:t>
            </w:r>
          </w:p>
        </w:tc>
      </w:tr>
      <w:tr w:rsidR="00531A96" w:rsidTr="00CB1432">
        <w:tc>
          <w:tcPr>
            <w:tcW w:w="1229" w:type="dxa"/>
          </w:tcPr>
          <w:p w:rsidR="00531A96" w:rsidRDefault="00531A96" w:rsidP="00CB1432">
            <w:pPr>
              <w:pStyle w:val="NoSpacing"/>
              <w:rPr>
                <w:rFonts w:ascii="Century Gothic" w:hAnsi="Century Gothic"/>
                <w:sz w:val="24"/>
                <w:szCs w:val="24"/>
              </w:rPr>
            </w:pPr>
            <w:r>
              <w:rPr>
                <w:rFonts w:ascii="Century Gothic" w:hAnsi="Century Gothic"/>
                <w:sz w:val="24"/>
                <w:szCs w:val="24"/>
              </w:rPr>
              <w:t>GPS</w:t>
            </w:r>
          </w:p>
        </w:tc>
        <w:tc>
          <w:tcPr>
            <w:tcW w:w="2098"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79%</w:t>
            </w:r>
          </w:p>
        </w:tc>
        <w:tc>
          <w:tcPr>
            <w:tcW w:w="2386"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61%</w:t>
            </w:r>
          </w:p>
        </w:tc>
        <w:tc>
          <w:tcPr>
            <w:tcW w:w="2217"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72%</w:t>
            </w:r>
          </w:p>
        </w:tc>
        <w:tc>
          <w:tcPr>
            <w:tcW w:w="2514" w:type="dxa"/>
            <w:gridSpan w:val="2"/>
          </w:tcPr>
          <w:p w:rsidR="00531A96" w:rsidRDefault="00531A96" w:rsidP="00CB1432">
            <w:pPr>
              <w:pStyle w:val="NoSpacing"/>
              <w:jc w:val="center"/>
              <w:rPr>
                <w:rFonts w:ascii="Century Gothic" w:hAnsi="Century Gothic"/>
                <w:sz w:val="24"/>
                <w:szCs w:val="24"/>
              </w:rPr>
            </w:pPr>
          </w:p>
        </w:tc>
      </w:tr>
      <w:tr w:rsidR="00531A96" w:rsidTr="00CB1432">
        <w:trPr>
          <w:trHeight w:val="300"/>
        </w:trPr>
        <w:tc>
          <w:tcPr>
            <w:tcW w:w="1229" w:type="dxa"/>
          </w:tcPr>
          <w:p w:rsidR="00531A96" w:rsidRDefault="00531A96" w:rsidP="00CB1432">
            <w:pPr>
              <w:pStyle w:val="NoSpacing"/>
              <w:rPr>
                <w:rFonts w:ascii="Century Gothic" w:hAnsi="Century Gothic"/>
                <w:sz w:val="24"/>
                <w:szCs w:val="24"/>
              </w:rPr>
            </w:pPr>
            <w:r>
              <w:rPr>
                <w:rFonts w:ascii="Century Gothic" w:hAnsi="Century Gothic"/>
                <w:sz w:val="24"/>
                <w:szCs w:val="24"/>
              </w:rPr>
              <w:t>RWM</w:t>
            </w:r>
          </w:p>
        </w:tc>
        <w:tc>
          <w:tcPr>
            <w:tcW w:w="2098" w:type="dxa"/>
            <w:gridSpan w:val="2"/>
          </w:tcPr>
          <w:p w:rsidR="00531A96" w:rsidRDefault="00531A96" w:rsidP="00CB1432">
            <w:pPr>
              <w:pStyle w:val="NoSpacing"/>
              <w:jc w:val="center"/>
              <w:rPr>
                <w:rFonts w:ascii="Century Gothic" w:hAnsi="Century Gothic"/>
                <w:sz w:val="24"/>
                <w:szCs w:val="24"/>
              </w:rPr>
            </w:pPr>
          </w:p>
        </w:tc>
        <w:tc>
          <w:tcPr>
            <w:tcW w:w="2386" w:type="dxa"/>
            <w:gridSpan w:val="2"/>
          </w:tcPr>
          <w:p w:rsidR="00531A96" w:rsidRDefault="00531A96" w:rsidP="00CB1432">
            <w:pPr>
              <w:pStyle w:val="NoSpacing"/>
              <w:jc w:val="center"/>
              <w:rPr>
                <w:rFonts w:ascii="Century Gothic" w:hAnsi="Century Gothic"/>
                <w:sz w:val="24"/>
                <w:szCs w:val="24"/>
              </w:rPr>
            </w:pPr>
          </w:p>
        </w:tc>
        <w:tc>
          <w:tcPr>
            <w:tcW w:w="2217"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53%</w:t>
            </w:r>
          </w:p>
        </w:tc>
        <w:tc>
          <w:tcPr>
            <w:tcW w:w="2514"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60%</w:t>
            </w:r>
          </w:p>
        </w:tc>
      </w:tr>
      <w:tr w:rsidR="00531A96" w:rsidTr="00CB1432">
        <w:trPr>
          <w:trHeight w:val="1160"/>
        </w:trPr>
        <w:tc>
          <w:tcPr>
            <w:tcW w:w="10444" w:type="dxa"/>
            <w:gridSpan w:val="8"/>
          </w:tcPr>
          <w:p w:rsidR="00531A96" w:rsidRDefault="00531A96" w:rsidP="00CB1432">
            <w:pPr>
              <w:pStyle w:val="NoSpacing"/>
              <w:rPr>
                <w:rFonts w:ascii="Century Gothic" w:hAnsi="Century Gothic"/>
                <w:sz w:val="24"/>
                <w:szCs w:val="24"/>
              </w:rPr>
            </w:pPr>
          </w:p>
          <w:p w:rsidR="00531A96" w:rsidRDefault="00531A96" w:rsidP="00CB1432">
            <w:pPr>
              <w:pStyle w:val="NoSpacing"/>
              <w:rPr>
                <w:rFonts w:ascii="Century Gothic" w:hAnsi="Century Gothic"/>
                <w:sz w:val="24"/>
                <w:szCs w:val="24"/>
              </w:rPr>
            </w:pPr>
          </w:p>
          <w:p w:rsidR="00531A96" w:rsidRDefault="00531A96" w:rsidP="00CB1432">
            <w:pPr>
              <w:pStyle w:val="NoSpacing"/>
              <w:rPr>
                <w:rFonts w:ascii="Century Gothic" w:hAnsi="Century Gothic"/>
                <w:sz w:val="24"/>
                <w:szCs w:val="24"/>
              </w:rPr>
            </w:pPr>
          </w:p>
          <w:p w:rsidR="00531A96" w:rsidRDefault="00531A96" w:rsidP="00CB1432">
            <w:pPr>
              <w:pStyle w:val="NoSpacing"/>
              <w:rPr>
                <w:rFonts w:ascii="Century Gothic" w:hAnsi="Century Gothic"/>
                <w:sz w:val="24"/>
                <w:szCs w:val="24"/>
              </w:rPr>
            </w:pPr>
            <w:r>
              <w:rPr>
                <w:rFonts w:ascii="Century Gothic" w:hAnsi="Century Gothic"/>
                <w:sz w:val="24"/>
                <w:szCs w:val="24"/>
              </w:rPr>
              <w:t>Our 10 KS1 disadvantaged pupils did particularly well compared to those nationally in Reading. We are in line with national in Maths and did have a slight gap compared to national disadvantaged children in Writing.</w:t>
            </w:r>
          </w:p>
          <w:p w:rsidR="00531A96" w:rsidRDefault="00531A96" w:rsidP="00CB1432">
            <w:pPr>
              <w:pStyle w:val="NoSpacing"/>
              <w:rPr>
                <w:rFonts w:ascii="Century Gothic" w:hAnsi="Century Gothic"/>
                <w:sz w:val="24"/>
                <w:szCs w:val="24"/>
              </w:rPr>
            </w:pPr>
          </w:p>
        </w:tc>
      </w:tr>
      <w:tr w:rsidR="00531A96" w:rsidTr="00CB1432">
        <w:tc>
          <w:tcPr>
            <w:tcW w:w="1909" w:type="dxa"/>
            <w:gridSpan w:val="2"/>
          </w:tcPr>
          <w:p w:rsidR="00531A96" w:rsidRDefault="00531A96" w:rsidP="00CB1432">
            <w:pPr>
              <w:pStyle w:val="NoSpacing"/>
              <w:rPr>
                <w:rFonts w:ascii="Century Gothic" w:hAnsi="Century Gothic"/>
                <w:sz w:val="24"/>
                <w:szCs w:val="24"/>
              </w:rPr>
            </w:pPr>
          </w:p>
        </w:tc>
        <w:tc>
          <w:tcPr>
            <w:tcW w:w="3722"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Disadvantaged </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at South Parade </w:t>
            </w:r>
          </w:p>
        </w:tc>
        <w:tc>
          <w:tcPr>
            <w:tcW w:w="2703" w:type="dxa"/>
            <w:gridSpan w:val="3"/>
          </w:tcPr>
          <w:p w:rsidR="00531A96" w:rsidRDefault="00531A96" w:rsidP="00CB1432">
            <w:pPr>
              <w:pStyle w:val="NoSpacing"/>
              <w:rPr>
                <w:rFonts w:ascii="Century Gothic" w:hAnsi="Century Gothic"/>
                <w:sz w:val="24"/>
                <w:szCs w:val="24"/>
              </w:rPr>
            </w:pPr>
            <w:r>
              <w:rPr>
                <w:rFonts w:ascii="Century Gothic" w:hAnsi="Century Gothic"/>
                <w:sz w:val="24"/>
                <w:szCs w:val="24"/>
              </w:rPr>
              <w:t>Disadvantaged</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 nationally </w:t>
            </w:r>
          </w:p>
        </w:tc>
        <w:tc>
          <w:tcPr>
            <w:tcW w:w="2110" w:type="dxa"/>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National </w:t>
            </w:r>
          </w:p>
          <w:p w:rsidR="00531A96" w:rsidRDefault="00531A96" w:rsidP="00CB1432">
            <w:pPr>
              <w:pStyle w:val="NoSpacing"/>
              <w:rPr>
                <w:rFonts w:ascii="Century Gothic" w:hAnsi="Century Gothic"/>
                <w:sz w:val="24"/>
                <w:szCs w:val="24"/>
              </w:rPr>
            </w:pPr>
            <w:r>
              <w:rPr>
                <w:rFonts w:ascii="Century Gothic" w:hAnsi="Century Gothic"/>
                <w:sz w:val="24"/>
                <w:szCs w:val="24"/>
              </w:rPr>
              <w:t>Attainment</w:t>
            </w:r>
          </w:p>
          <w:p w:rsidR="00531A96" w:rsidRDefault="00531A96" w:rsidP="00CB1432">
            <w:pPr>
              <w:pStyle w:val="NoSpacing"/>
              <w:rPr>
                <w:rFonts w:ascii="Century Gothic" w:hAnsi="Century Gothic"/>
                <w:sz w:val="24"/>
                <w:szCs w:val="24"/>
              </w:rPr>
            </w:pPr>
            <w:r>
              <w:rPr>
                <w:rFonts w:ascii="Century Gothic" w:hAnsi="Century Gothic"/>
                <w:sz w:val="24"/>
                <w:szCs w:val="24"/>
              </w:rPr>
              <w:t xml:space="preserve"> (</w:t>
            </w:r>
            <w:r w:rsidRPr="00A144B0">
              <w:rPr>
                <w:rFonts w:ascii="Century Gothic" w:hAnsi="Century Gothic"/>
                <w:b/>
                <w:sz w:val="24"/>
                <w:szCs w:val="24"/>
              </w:rPr>
              <w:t>ALL</w:t>
            </w:r>
            <w:r>
              <w:rPr>
                <w:rFonts w:ascii="Century Gothic" w:hAnsi="Century Gothic"/>
                <w:sz w:val="24"/>
                <w:szCs w:val="24"/>
              </w:rPr>
              <w:t xml:space="preserve"> PUPILS</w:t>
            </w:r>
          </w:p>
          <w:p w:rsidR="00531A96" w:rsidRDefault="00531A96" w:rsidP="00CB1432">
            <w:pPr>
              <w:pStyle w:val="NoSpacing"/>
              <w:rPr>
                <w:rFonts w:ascii="Century Gothic" w:hAnsi="Century Gothic"/>
                <w:sz w:val="24"/>
                <w:szCs w:val="24"/>
              </w:rPr>
            </w:pPr>
            <w:r>
              <w:rPr>
                <w:rFonts w:ascii="Century Gothic" w:hAnsi="Century Gothic"/>
                <w:sz w:val="24"/>
                <w:szCs w:val="24"/>
              </w:rPr>
              <w:t>Disadvantaged + non-disadvantaged)</w:t>
            </w:r>
          </w:p>
        </w:tc>
      </w:tr>
      <w:tr w:rsidR="00531A96" w:rsidTr="00CB1432">
        <w:tc>
          <w:tcPr>
            <w:tcW w:w="1909"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 xml:space="preserve">Reading </w:t>
            </w:r>
          </w:p>
        </w:tc>
        <w:tc>
          <w:tcPr>
            <w:tcW w:w="3722"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70%</w:t>
            </w:r>
          </w:p>
        </w:tc>
        <w:tc>
          <w:tcPr>
            <w:tcW w:w="2703" w:type="dxa"/>
            <w:gridSpan w:val="3"/>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62%</w:t>
            </w:r>
          </w:p>
        </w:tc>
        <w:tc>
          <w:tcPr>
            <w:tcW w:w="2110"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74%</w:t>
            </w:r>
          </w:p>
        </w:tc>
      </w:tr>
      <w:tr w:rsidR="00531A96" w:rsidTr="00CB1432">
        <w:tc>
          <w:tcPr>
            <w:tcW w:w="1909"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Writing</w:t>
            </w:r>
          </w:p>
        </w:tc>
        <w:tc>
          <w:tcPr>
            <w:tcW w:w="3722"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40%</w:t>
            </w:r>
          </w:p>
        </w:tc>
        <w:tc>
          <w:tcPr>
            <w:tcW w:w="2703" w:type="dxa"/>
            <w:gridSpan w:val="3"/>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53%</w:t>
            </w:r>
          </w:p>
        </w:tc>
        <w:tc>
          <w:tcPr>
            <w:tcW w:w="2110"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65%</w:t>
            </w:r>
          </w:p>
        </w:tc>
      </w:tr>
      <w:tr w:rsidR="00531A96" w:rsidTr="00CB1432">
        <w:tc>
          <w:tcPr>
            <w:tcW w:w="1909" w:type="dxa"/>
            <w:gridSpan w:val="2"/>
          </w:tcPr>
          <w:p w:rsidR="00531A96" w:rsidRDefault="00531A96" w:rsidP="00CB1432">
            <w:pPr>
              <w:pStyle w:val="NoSpacing"/>
              <w:rPr>
                <w:rFonts w:ascii="Century Gothic" w:hAnsi="Century Gothic"/>
                <w:sz w:val="24"/>
                <w:szCs w:val="24"/>
              </w:rPr>
            </w:pPr>
            <w:r>
              <w:rPr>
                <w:rFonts w:ascii="Century Gothic" w:hAnsi="Century Gothic"/>
                <w:sz w:val="24"/>
                <w:szCs w:val="24"/>
              </w:rPr>
              <w:t>Maths</w:t>
            </w:r>
          </w:p>
        </w:tc>
        <w:tc>
          <w:tcPr>
            <w:tcW w:w="3722" w:type="dxa"/>
            <w:gridSpan w:val="2"/>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60%</w:t>
            </w:r>
          </w:p>
        </w:tc>
        <w:tc>
          <w:tcPr>
            <w:tcW w:w="2703" w:type="dxa"/>
            <w:gridSpan w:val="3"/>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60%</w:t>
            </w:r>
          </w:p>
        </w:tc>
        <w:tc>
          <w:tcPr>
            <w:tcW w:w="2110" w:type="dxa"/>
          </w:tcPr>
          <w:p w:rsidR="00531A96" w:rsidRDefault="00531A96" w:rsidP="00CB1432">
            <w:pPr>
              <w:pStyle w:val="NoSpacing"/>
              <w:jc w:val="center"/>
              <w:rPr>
                <w:rFonts w:ascii="Century Gothic" w:hAnsi="Century Gothic"/>
                <w:sz w:val="24"/>
                <w:szCs w:val="24"/>
              </w:rPr>
            </w:pPr>
            <w:r>
              <w:rPr>
                <w:rFonts w:ascii="Century Gothic" w:hAnsi="Century Gothic"/>
                <w:sz w:val="24"/>
                <w:szCs w:val="24"/>
              </w:rPr>
              <w:t>73%</w:t>
            </w:r>
          </w:p>
        </w:tc>
      </w:tr>
    </w:tbl>
    <w:p w:rsidR="00531A96" w:rsidRPr="00F579E5" w:rsidRDefault="00531A96">
      <w:pPr>
        <w:rPr>
          <w:rFonts w:ascii="Comic Sans MS" w:hAnsi="Comic Sans MS"/>
          <w:sz w:val="24"/>
          <w:szCs w:val="24"/>
        </w:rPr>
      </w:pPr>
    </w:p>
    <w:sectPr w:rsidR="00531A96" w:rsidRPr="00F57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7E22"/>
    <w:multiLevelType w:val="multilevel"/>
    <w:tmpl w:val="4B6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E5"/>
    <w:rsid w:val="0003780C"/>
    <w:rsid w:val="001538CB"/>
    <w:rsid w:val="0038577B"/>
    <w:rsid w:val="00531A96"/>
    <w:rsid w:val="0061571D"/>
    <w:rsid w:val="007547A5"/>
    <w:rsid w:val="007679B2"/>
    <w:rsid w:val="007743D0"/>
    <w:rsid w:val="00774CA7"/>
    <w:rsid w:val="00921535"/>
    <w:rsid w:val="00C167D8"/>
    <w:rsid w:val="00EF3B82"/>
    <w:rsid w:val="00F5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9B2"/>
    <w:pPr>
      <w:spacing w:after="0" w:line="240" w:lineRule="auto"/>
    </w:pPr>
  </w:style>
  <w:style w:type="paragraph" w:styleId="BalloonText">
    <w:name w:val="Balloon Text"/>
    <w:basedOn w:val="Normal"/>
    <w:link w:val="BalloonTextChar"/>
    <w:uiPriority w:val="99"/>
    <w:semiHidden/>
    <w:unhideWhenUsed/>
    <w:rsid w:val="006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1D"/>
    <w:rPr>
      <w:rFonts w:ascii="Tahoma" w:hAnsi="Tahoma" w:cs="Tahoma"/>
      <w:sz w:val="16"/>
      <w:szCs w:val="16"/>
    </w:rPr>
  </w:style>
  <w:style w:type="table" w:styleId="TableGrid">
    <w:name w:val="Table Grid"/>
    <w:basedOn w:val="TableNormal"/>
    <w:uiPriority w:val="59"/>
    <w:rsid w:val="0053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9B2"/>
    <w:pPr>
      <w:spacing w:after="0" w:line="240" w:lineRule="auto"/>
    </w:pPr>
  </w:style>
  <w:style w:type="paragraph" w:styleId="BalloonText">
    <w:name w:val="Balloon Text"/>
    <w:basedOn w:val="Normal"/>
    <w:link w:val="BalloonTextChar"/>
    <w:uiPriority w:val="99"/>
    <w:semiHidden/>
    <w:unhideWhenUsed/>
    <w:rsid w:val="006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1D"/>
    <w:rPr>
      <w:rFonts w:ascii="Tahoma" w:hAnsi="Tahoma" w:cs="Tahoma"/>
      <w:sz w:val="16"/>
      <w:szCs w:val="16"/>
    </w:rPr>
  </w:style>
  <w:style w:type="table" w:styleId="TableGrid">
    <w:name w:val="Table Grid"/>
    <w:basedOn w:val="TableNormal"/>
    <w:uiPriority w:val="59"/>
    <w:rsid w:val="0053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Philip Blakeley</dc:creator>
  <cp:lastModifiedBy>Emma Fieldhouse</cp:lastModifiedBy>
  <cp:revision>2</cp:revision>
  <cp:lastPrinted>2015-09-22T13:51:00Z</cp:lastPrinted>
  <dcterms:created xsi:type="dcterms:W3CDTF">2017-05-22T09:28:00Z</dcterms:created>
  <dcterms:modified xsi:type="dcterms:W3CDTF">2017-05-22T09:28:00Z</dcterms:modified>
</cp:coreProperties>
</file>